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7E6B" w14:textId="77777777" w:rsidR="0058201C" w:rsidRDefault="0058201C" w:rsidP="004B718A">
      <w:pPr>
        <w:pStyle w:val="Heading1"/>
      </w:pPr>
    </w:p>
    <w:p w14:paraId="57FAE5C1" w14:textId="6CD6E79A" w:rsidR="004B718A" w:rsidRPr="0058201C" w:rsidRDefault="000443F2" w:rsidP="004B718A">
      <w:pPr>
        <w:pStyle w:val="Heading1"/>
        <w:rPr>
          <w:rFonts w:ascii="Caveat bold" w:hAnsi="Caveat bold"/>
          <w:color w:val="008F85"/>
          <w:sz w:val="40"/>
          <w:szCs w:val="40"/>
        </w:rPr>
      </w:pPr>
      <w:r>
        <w:rPr>
          <w:rFonts w:ascii="Caveat bold" w:hAnsi="Caveat bold"/>
          <w:color w:val="008F85"/>
          <w:sz w:val="40"/>
          <w:szCs w:val="40"/>
        </w:rPr>
        <w:t>Talking Points</w:t>
      </w:r>
    </w:p>
    <w:p w14:paraId="62C914BC" w14:textId="77777777" w:rsidR="000443F2" w:rsidRDefault="000443F2" w:rsidP="000443F2">
      <w:pPr>
        <w:pStyle w:val="Heading2"/>
      </w:pPr>
    </w:p>
    <w:p w14:paraId="572D6EB3" w14:textId="77777777" w:rsidR="000443F2" w:rsidRPr="000443F2" w:rsidRDefault="000443F2" w:rsidP="000443F2">
      <w:pPr>
        <w:pStyle w:val="Heading2"/>
        <w:rPr>
          <w:rFonts w:ascii="Gotham Bold" w:hAnsi="Gotham Bold"/>
          <w:color w:val="235BA8"/>
        </w:rPr>
      </w:pPr>
      <w:r w:rsidRPr="000443F2">
        <w:rPr>
          <w:rFonts w:ascii="Gotham Bold" w:hAnsi="Gotham Bold"/>
          <w:color w:val="235BA8"/>
        </w:rPr>
        <w:t>The need for financial education:</w:t>
      </w:r>
    </w:p>
    <w:p w14:paraId="04FCB348" w14:textId="77777777" w:rsidR="000443F2" w:rsidRPr="000443F2" w:rsidRDefault="000443F2" w:rsidP="000443F2">
      <w:pPr>
        <w:spacing w:line="256" w:lineRule="auto"/>
        <w:rPr>
          <w:rFonts w:ascii="Gotham Book" w:hAnsi="Gotham Book" w:cs="Calibri"/>
          <w:b/>
        </w:rPr>
      </w:pPr>
      <w:r w:rsidRPr="000443F2">
        <w:rPr>
          <w:rFonts w:ascii="Gotham Book" w:hAnsi="Gotham Book" w:cs="Calibri"/>
          <w:b/>
        </w:rPr>
        <w:t>Everyone needs financial literacy to navigate today’s complicated financial landscape.</w:t>
      </w:r>
    </w:p>
    <w:p w14:paraId="6D7673FF" w14:textId="77777777" w:rsidR="000443F2" w:rsidRPr="000443F2" w:rsidRDefault="000443F2" w:rsidP="000443F2">
      <w:pPr>
        <w:spacing w:line="256" w:lineRule="auto"/>
        <w:rPr>
          <w:rFonts w:ascii="Gotham Book" w:hAnsi="Gotham Book" w:cs="Calibri"/>
          <w:b/>
        </w:rPr>
      </w:pPr>
      <w:r w:rsidRPr="000443F2">
        <w:rPr>
          <w:rFonts w:ascii="Gotham Book" w:eastAsia="Times New Roman" w:hAnsi="Gotham Book" w:cs="Calibri"/>
          <w:b/>
          <w:color w:val="222222"/>
        </w:rPr>
        <w:t>Financial education is the best mechanism for increasing financial literacy for everyone; especially those who aren’t being taught financial skills at home.</w:t>
      </w:r>
    </w:p>
    <w:p w14:paraId="744CE93B" w14:textId="77777777" w:rsidR="000443F2" w:rsidRPr="000443F2" w:rsidRDefault="000443F2" w:rsidP="000443F2">
      <w:pPr>
        <w:spacing w:line="256" w:lineRule="auto"/>
        <w:rPr>
          <w:rFonts w:ascii="Gotham Book" w:hAnsi="Gotham Book" w:cs="Calibri"/>
          <w:b/>
        </w:rPr>
      </w:pPr>
      <w:r w:rsidRPr="000443F2">
        <w:rPr>
          <w:rFonts w:ascii="Gotham Book" w:hAnsi="Gotham Book" w:cs="Calibri"/>
          <w:b/>
        </w:rPr>
        <w:t>Providing financial education in schools is the most effective way to achieve widespread financial literacy.</w:t>
      </w:r>
    </w:p>
    <w:p w14:paraId="459C7658" w14:textId="77777777" w:rsidR="000443F2" w:rsidRPr="000443F2" w:rsidRDefault="000443F2" w:rsidP="000443F2">
      <w:pPr>
        <w:spacing w:line="256" w:lineRule="auto"/>
        <w:rPr>
          <w:rFonts w:ascii="Gotham Book" w:hAnsi="Gotham Book" w:cstheme="minorHAnsi"/>
          <w:b/>
        </w:rPr>
      </w:pPr>
      <w:r w:rsidRPr="000443F2">
        <w:rPr>
          <w:rFonts w:ascii="Gotham Book" w:hAnsi="Gotham Book" w:cstheme="minorHAnsi"/>
          <w:b/>
        </w:rPr>
        <w:t>Financial literacy rates directly affect the financial health of individuals, families, communities, and the country, giving us all a stake in the level of education being taught to our children.</w:t>
      </w:r>
    </w:p>
    <w:p w14:paraId="1E74D5D4" w14:textId="77777777" w:rsidR="000443F2" w:rsidRPr="000443F2" w:rsidRDefault="000443F2" w:rsidP="000443F2">
      <w:pPr>
        <w:rPr>
          <w:rFonts w:ascii="Gotham Book" w:hAnsi="Gotham Book" w:cstheme="minorHAnsi"/>
        </w:rPr>
      </w:pPr>
      <w:r w:rsidRPr="000443F2">
        <w:rPr>
          <w:rFonts w:ascii="Gotham Book" w:hAnsi="Gotham Book" w:cstheme="minorHAnsi"/>
          <w:b/>
        </w:rPr>
        <w:t>Many recent high school graduates are now engaging in large-scale financial commitments to fund college, with many signing up for long-term financial debt without the knowledge or life experience to properly assess and manage it</w:t>
      </w:r>
      <w:r w:rsidRPr="000443F2">
        <w:rPr>
          <w:rFonts w:ascii="Gotham Book" w:hAnsi="Gotham Book" w:cstheme="minorHAnsi"/>
        </w:rPr>
        <w:t xml:space="preserve">. A recent </w:t>
      </w:r>
      <w:hyperlink r:id="rId7" w:history="1">
        <w:r w:rsidRPr="000443F2">
          <w:rPr>
            <w:rStyle w:val="Hyperlink"/>
            <w:rFonts w:ascii="Gotham Book" w:hAnsi="Gotham Book" w:cstheme="minorHAnsi"/>
          </w:rPr>
          <w:t>EVERFI survey</w:t>
        </w:r>
      </w:hyperlink>
      <w:r w:rsidRPr="000443F2">
        <w:rPr>
          <w:rFonts w:ascii="Gotham Book" w:hAnsi="Gotham Book" w:cstheme="minorHAnsi"/>
        </w:rPr>
        <w:t xml:space="preserve"> of over 100,000 incoming college students found that 92 percent of students felt “they needed more education, information, and/or support to be able to pay off their college loan.”</w:t>
      </w:r>
    </w:p>
    <w:p w14:paraId="033BE0EA" w14:textId="77777777" w:rsidR="000443F2" w:rsidRPr="000443F2" w:rsidRDefault="000443F2" w:rsidP="000443F2">
      <w:pPr>
        <w:rPr>
          <w:rFonts w:ascii="Gotham Book" w:hAnsi="Gotham Book" w:cstheme="minorHAnsi"/>
        </w:rPr>
      </w:pPr>
      <w:r w:rsidRPr="000443F2">
        <w:rPr>
          <w:rFonts w:ascii="Gotham Book" w:hAnsi="Gotham Book" w:cstheme="minorHAnsi"/>
          <w:b/>
        </w:rPr>
        <w:t>Students recognize that they need financial education.</w:t>
      </w:r>
      <w:r w:rsidRPr="000443F2">
        <w:rPr>
          <w:rFonts w:ascii="Gotham Book" w:hAnsi="Gotham Book" w:cstheme="minorHAnsi"/>
        </w:rPr>
        <w:t xml:space="preserve"> According to </w:t>
      </w:r>
      <w:hyperlink r:id="rId8" w:history="1">
        <w:r w:rsidRPr="000443F2">
          <w:rPr>
            <w:rStyle w:val="Hyperlink"/>
            <w:rFonts w:ascii="Gotham Book" w:hAnsi="Gotham Book" w:cstheme="minorHAnsi"/>
          </w:rPr>
          <w:t>a survey</w:t>
        </w:r>
      </w:hyperlink>
      <w:r w:rsidRPr="000443F2">
        <w:rPr>
          <w:rFonts w:ascii="Gotham Book" w:hAnsi="Gotham Book" w:cstheme="minorHAnsi"/>
        </w:rPr>
        <w:t xml:space="preserve"> of 1,200 high school seniors, students ranked personal finance as the most important subject they needed to learn in school for their future success, but less than 1/3 have taken a personal finance course in school.</w:t>
      </w:r>
    </w:p>
    <w:p w14:paraId="2B301BA5" w14:textId="77777777" w:rsidR="000443F2" w:rsidRPr="000443F2" w:rsidRDefault="000443F2" w:rsidP="000443F2">
      <w:pPr>
        <w:rPr>
          <w:rFonts w:ascii="Gotham Book" w:hAnsi="Gotham Book" w:cstheme="minorHAnsi"/>
        </w:rPr>
      </w:pPr>
      <w:r w:rsidRPr="000443F2">
        <w:rPr>
          <w:rFonts w:ascii="Gotham Book" w:hAnsi="Gotham Book" w:cstheme="minorHAnsi"/>
          <w:b/>
        </w:rPr>
        <w:t>Financial education can’t start too early—kids start forming financial habits early, and early financial education helps them get off on the right foot.</w:t>
      </w:r>
      <w:r w:rsidRPr="000443F2">
        <w:rPr>
          <w:rFonts w:ascii="Gotham Book" w:hAnsi="Gotham Book" w:cstheme="minorHAnsi"/>
        </w:rPr>
        <w:t xml:space="preserve"> Well-designed elementary school financial education programs </w:t>
      </w:r>
      <w:hyperlink r:id="rId9" w:history="1">
        <w:r w:rsidRPr="000443F2">
          <w:rPr>
            <w:rStyle w:val="Hyperlink"/>
            <w:rFonts w:ascii="Gotham Book" w:hAnsi="Gotham Book" w:cstheme="minorHAnsi"/>
          </w:rPr>
          <w:t>have been shown</w:t>
        </w:r>
      </w:hyperlink>
      <w:r w:rsidRPr="000443F2">
        <w:rPr>
          <w:rFonts w:ascii="Gotham Book" w:hAnsi="Gotham Book" w:cstheme="minorHAnsi"/>
        </w:rPr>
        <w:t xml:space="preserve"> to increase financial knowledge, positively affect spending attitudes and increase savings levels.</w:t>
      </w:r>
    </w:p>
    <w:p w14:paraId="6FA149FB" w14:textId="77777777" w:rsidR="000443F2" w:rsidRPr="000443F2" w:rsidRDefault="000443F2" w:rsidP="000443F2">
      <w:pPr>
        <w:rPr>
          <w:rFonts w:ascii="Gotham Book" w:hAnsi="Gotham Book"/>
        </w:rPr>
      </w:pPr>
      <w:r w:rsidRPr="000443F2">
        <w:rPr>
          <w:rFonts w:ascii="Gotham Book" w:hAnsi="Gotham Book" w:cstheme="minorHAnsi"/>
          <w:b/>
        </w:rPr>
        <w:t>A lack of financial literacy has real consequences for individuals, including lower savings rates, poor credit, and less wealth overall.</w:t>
      </w:r>
      <w:r w:rsidRPr="000443F2">
        <w:rPr>
          <w:rFonts w:ascii="Gotham Book" w:hAnsi="Gotham Book" w:cstheme="minorHAnsi"/>
        </w:rPr>
        <w:t xml:space="preserve"> But financial illiteracy also has nationwide effects; for </w:t>
      </w:r>
      <w:proofErr w:type="gramStart"/>
      <w:r w:rsidRPr="000443F2">
        <w:rPr>
          <w:rFonts w:ascii="Gotham Book" w:hAnsi="Gotham Book" w:cstheme="minorHAnsi"/>
        </w:rPr>
        <w:t>instance</w:t>
      </w:r>
      <w:proofErr w:type="gramEnd"/>
      <w:r w:rsidRPr="000443F2">
        <w:rPr>
          <w:rFonts w:ascii="Gotham Book" w:hAnsi="Gotham Book" w:cstheme="minorHAnsi"/>
        </w:rPr>
        <w:t xml:space="preserve"> a </w:t>
      </w:r>
      <w:hyperlink r:id="rId10" w:history="1">
        <w:r w:rsidRPr="000443F2">
          <w:rPr>
            <w:rStyle w:val="Hyperlink"/>
            <w:rFonts w:ascii="Gotham Book" w:hAnsi="Gotham Book" w:cstheme="minorHAnsi"/>
          </w:rPr>
          <w:t>2013 NBER paper</w:t>
        </w:r>
      </w:hyperlink>
      <w:r w:rsidRPr="000443F2">
        <w:rPr>
          <w:rFonts w:ascii="Gotham Book" w:hAnsi="Gotham Book" w:cstheme="minorHAnsi"/>
        </w:rPr>
        <w:t xml:space="preserve"> found that over half of the wealth inequality in the US can be attributed to financial literacy (or a lack thereof). </w:t>
      </w:r>
    </w:p>
    <w:p w14:paraId="19A00624" w14:textId="77777777" w:rsidR="000443F2" w:rsidRDefault="000443F2" w:rsidP="000443F2">
      <w:pPr>
        <w:spacing w:line="256" w:lineRule="auto"/>
        <w:rPr>
          <w:rFonts w:ascii="Calibri" w:hAnsi="Calibri" w:cs="Calibri"/>
          <w:b/>
        </w:rPr>
      </w:pPr>
    </w:p>
    <w:p w14:paraId="2B18528B" w14:textId="77777777" w:rsidR="000443F2" w:rsidRDefault="000443F2" w:rsidP="000443F2">
      <w:pPr>
        <w:spacing w:line="256" w:lineRule="auto"/>
        <w:rPr>
          <w:rFonts w:ascii="Calibri" w:hAnsi="Calibri" w:cs="Calibri"/>
          <w:b/>
        </w:rPr>
      </w:pPr>
    </w:p>
    <w:p w14:paraId="5F237290" w14:textId="77777777" w:rsidR="000443F2" w:rsidRPr="000443F2" w:rsidRDefault="000443F2" w:rsidP="000443F2">
      <w:pPr>
        <w:pStyle w:val="Heading2"/>
        <w:rPr>
          <w:rFonts w:ascii="Gotham Bold" w:hAnsi="Gotham Bold"/>
          <w:color w:val="235BA8"/>
        </w:rPr>
      </w:pPr>
      <w:r w:rsidRPr="000443F2">
        <w:rPr>
          <w:rFonts w:ascii="Gotham Bold" w:hAnsi="Gotham Bold"/>
          <w:color w:val="235BA8"/>
        </w:rPr>
        <w:t>Benefits of financial education:</w:t>
      </w:r>
      <w:bookmarkStart w:id="0" w:name="_GoBack"/>
      <w:bookmarkEnd w:id="0"/>
    </w:p>
    <w:p w14:paraId="6DEEF6DF" w14:textId="77777777" w:rsidR="000443F2" w:rsidRPr="000443F2" w:rsidRDefault="000443F2" w:rsidP="000443F2">
      <w:pPr>
        <w:spacing w:line="256" w:lineRule="auto"/>
        <w:rPr>
          <w:rFonts w:ascii="Gotham Book" w:hAnsi="Gotham Book" w:cstheme="minorHAnsi"/>
        </w:rPr>
      </w:pPr>
      <w:r w:rsidRPr="000443F2">
        <w:rPr>
          <w:rFonts w:ascii="Gotham Book" w:hAnsi="Gotham Book" w:cs="Calibri"/>
          <w:b/>
        </w:rPr>
        <w:t>Financial education helps young adults make better savings decisions.</w:t>
      </w:r>
      <w:r w:rsidRPr="000443F2">
        <w:rPr>
          <w:rFonts w:ascii="Gotham Book" w:hAnsi="Gotham Book" w:cs="Calibri"/>
        </w:rPr>
        <w:t xml:space="preserve"> </w:t>
      </w:r>
      <w:r w:rsidRPr="000443F2">
        <w:rPr>
          <w:rFonts w:ascii="Gotham Book" w:hAnsi="Gotham Book" w:cstheme="minorHAnsi"/>
        </w:rPr>
        <w:t xml:space="preserve">A </w:t>
      </w:r>
      <w:hyperlink r:id="rId11" w:history="1">
        <w:r w:rsidRPr="000443F2">
          <w:rPr>
            <w:rStyle w:val="Hyperlink"/>
            <w:rFonts w:ascii="Gotham Book" w:hAnsi="Gotham Book" w:cstheme="minorHAnsi"/>
          </w:rPr>
          <w:t>survey</w:t>
        </w:r>
      </w:hyperlink>
      <w:r w:rsidRPr="000443F2">
        <w:rPr>
          <w:rFonts w:ascii="Gotham Book" w:hAnsi="Gotham Book" w:cstheme="minorHAnsi"/>
        </w:rPr>
        <w:t xml:space="preserve"> of over 1,000 high school seniors found that those who had taken a class in personal </w:t>
      </w:r>
      <w:r w:rsidRPr="000443F2">
        <w:rPr>
          <w:rFonts w:ascii="Gotham Book" w:hAnsi="Gotham Book" w:cstheme="minorHAnsi"/>
        </w:rPr>
        <w:lastRenderedPageBreak/>
        <w:t>finance were found to be 11 percent more likely to save; 30 percent more likely to have a budget; and 88 percent more likely to invest than those who did not.</w:t>
      </w:r>
    </w:p>
    <w:p w14:paraId="0381ACD2" w14:textId="77777777" w:rsidR="000443F2" w:rsidRPr="000443F2" w:rsidRDefault="000443F2" w:rsidP="000443F2">
      <w:pPr>
        <w:spacing w:line="256" w:lineRule="auto"/>
        <w:rPr>
          <w:rFonts w:ascii="Gotham Book" w:hAnsi="Gotham Book" w:cstheme="minorHAnsi"/>
        </w:rPr>
      </w:pPr>
      <w:r w:rsidRPr="000443F2">
        <w:rPr>
          <w:rFonts w:ascii="Gotham Book" w:hAnsi="Gotham Book" w:cstheme="minorHAnsi"/>
          <w:b/>
        </w:rPr>
        <w:t xml:space="preserve">Financial education leads to better college financing decisions. </w:t>
      </w:r>
      <w:r w:rsidRPr="000443F2">
        <w:rPr>
          <w:rFonts w:ascii="Gotham Book" w:hAnsi="Gotham Book" w:cstheme="minorHAnsi"/>
        </w:rPr>
        <w:t xml:space="preserve">A </w:t>
      </w:r>
      <w:hyperlink r:id="rId12" w:history="1">
        <w:r w:rsidRPr="000443F2">
          <w:rPr>
            <w:rStyle w:val="Hyperlink"/>
            <w:rFonts w:ascii="Gotham Book" w:hAnsi="Gotham Book" w:cstheme="minorHAnsi"/>
          </w:rPr>
          <w:t>recent study</w:t>
        </w:r>
      </w:hyperlink>
      <w:r w:rsidRPr="000443F2">
        <w:rPr>
          <w:rFonts w:ascii="Gotham Book" w:hAnsi="Gotham Book" w:cstheme="minorHAnsi"/>
        </w:rPr>
        <w:t xml:space="preserve"> from Montana State University finds that high school financial education leads to better financial aid decisions once these students reach college—it increases subsidized borrowing at advantageous federal rates and decreases use of more costly forms of borrowing, including credit cards and private loans.</w:t>
      </w:r>
    </w:p>
    <w:p w14:paraId="20CFA5AB" w14:textId="77777777" w:rsidR="000443F2" w:rsidRPr="000443F2" w:rsidRDefault="000443F2" w:rsidP="000443F2">
      <w:pPr>
        <w:rPr>
          <w:rFonts w:ascii="Gotham Book" w:hAnsi="Gotham Book" w:cstheme="minorHAnsi"/>
        </w:rPr>
      </w:pPr>
      <w:r w:rsidRPr="000443F2">
        <w:rPr>
          <w:rFonts w:ascii="Gotham Book" w:hAnsi="Gotham Book" w:cstheme="minorHAnsi"/>
          <w:b/>
        </w:rPr>
        <w:t>Financial education leaves young adults better prepared to handle their finances after graduating from high school.</w:t>
      </w:r>
      <w:r w:rsidRPr="000443F2">
        <w:rPr>
          <w:rFonts w:ascii="Gotham Book" w:hAnsi="Gotham Book" w:cstheme="minorHAnsi"/>
        </w:rPr>
        <w:t xml:space="preserve"> A </w:t>
      </w:r>
      <w:hyperlink r:id="rId13" w:history="1">
        <w:r w:rsidRPr="000443F2">
          <w:rPr>
            <w:rStyle w:val="Hyperlink"/>
            <w:rFonts w:ascii="Gotham Book" w:hAnsi="Gotham Book" w:cstheme="minorHAnsi"/>
          </w:rPr>
          <w:t>study</w:t>
        </w:r>
      </w:hyperlink>
      <w:r w:rsidRPr="000443F2">
        <w:rPr>
          <w:rFonts w:ascii="Gotham Book" w:hAnsi="Gotham Book" w:cstheme="minorHAnsi"/>
        </w:rPr>
        <w:t xml:space="preserve"> looking at almost 16,000 college students from 15 states found that students from states with required financial literacy courses had the highest levels of financial knowledge, and were</w:t>
      </w:r>
    </w:p>
    <w:p w14:paraId="59135F7F" w14:textId="77777777" w:rsidR="000443F2" w:rsidRPr="000443F2" w:rsidRDefault="000443F2" w:rsidP="000443F2">
      <w:pPr>
        <w:pStyle w:val="ListParagraph"/>
        <w:numPr>
          <w:ilvl w:val="0"/>
          <w:numId w:val="5"/>
        </w:numPr>
        <w:rPr>
          <w:rFonts w:ascii="Gotham Book" w:hAnsi="Gotham Book" w:cstheme="minorHAnsi"/>
        </w:rPr>
      </w:pPr>
      <w:r w:rsidRPr="000443F2">
        <w:rPr>
          <w:rFonts w:ascii="Gotham Book" w:hAnsi="Gotham Book" w:cstheme="minorHAnsi"/>
          <w:b/>
        </w:rPr>
        <w:t xml:space="preserve"> </w:t>
      </w:r>
      <w:r w:rsidRPr="000443F2">
        <w:rPr>
          <w:rFonts w:ascii="Gotham Book" w:hAnsi="Gotham Book" w:cstheme="minorHAnsi"/>
        </w:rPr>
        <w:t>More likely to save</w:t>
      </w:r>
    </w:p>
    <w:p w14:paraId="574364D3" w14:textId="77777777" w:rsidR="000443F2" w:rsidRPr="000443F2" w:rsidRDefault="000443F2" w:rsidP="000443F2">
      <w:pPr>
        <w:pStyle w:val="ListParagraph"/>
        <w:numPr>
          <w:ilvl w:val="0"/>
          <w:numId w:val="5"/>
        </w:numPr>
        <w:rPr>
          <w:rFonts w:ascii="Gotham Book" w:hAnsi="Gotham Book" w:cstheme="minorHAnsi"/>
        </w:rPr>
      </w:pPr>
      <w:r w:rsidRPr="000443F2">
        <w:rPr>
          <w:rFonts w:ascii="Gotham Book" w:hAnsi="Gotham Book" w:cstheme="minorHAnsi"/>
        </w:rPr>
        <w:t>Less likely to max out their credit card</w:t>
      </w:r>
    </w:p>
    <w:p w14:paraId="4F7FDCC0" w14:textId="77777777" w:rsidR="000443F2" w:rsidRPr="000443F2" w:rsidRDefault="000443F2" w:rsidP="000443F2">
      <w:pPr>
        <w:pStyle w:val="ListParagraph"/>
        <w:numPr>
          <w:ilvl w:val="0"/>
          <w:numId w:val="5"/>
        </w:numPr>
        <w:rPr>
          <w:rFonts w:ascii="Gotham Book" w:hAnsi="Gotham Book" w:cstheme="minorHAnsi"/>
        </w:rPr>
      </w:pPr>
      <w:r w:rsidRPr="000443F2">
        <w:rPr>
          <w:rFonts w:ascii="Gotham Book" w:hAnsi="Gotham Book" w:cstheme="minorHAnsi"/>
        </w:rPr>
        <w:t xml:space="preserve"> Less likely to make late credit card payments </w:t>
      </w:r>
    </w:p>
    <w:p w14:paraId="77449361" w14:textId="77777777" w:rsidR="000443F2" w:rsidRPr="000443F2" w:rsidRDefault="000443F2" w:rsidP="000443F2">
      <w:pPr>
        <w:pStyle w:val="ListParagraph"/>
        <w:numPr>
          <w:ilvl w:val="0"/>
          <w:numId w:val="5"/>
        </w:numPr>
        <w:rPr>
          <w:rFonts w:ascii="Gotham Book" w:hAnsi="Gotham Book" w:cstheme="minorHAnsi"/>
        </w:rPr>
      </w:pPr>
      <w:r w:rsidRPr="000443F2">
        <w:rPr>
          <w:rFonts w:ascii="Gotham Book" w:hAnsi="Gotham Book" w:cstheme="minorHAnsi"/>
        </w:rPr>
        <w:t xml:space="preserve">More likely to pay off credit cards in full each month </w:t>
      </w:r>
    </w:p>
    <w:p w14:paraId="1CD6E414" w14:textId="77777777" w:rsidR="000443F2" w:rsidRPr="000443F2" w:rsidRDefault="000443F2" w:rsidP="000443F2">
      <w:pPr>
        <w:pStyle w:val="ListParagraph"/>
        <w:numPr>
          <w:ilvl w:val="0"/>
          <w:numId w:val="5"/>
        </w:numPr>
        <w:rPr>
          <w:rFonts w:ascii="Gotham Book" w:hAnsi="Gotham Book" w:cstheme="minorHAnsi"/>
        </w:rPr>
      </w:pPr>
      <w:r w:rsidRPr="000443F2">
        <w:rPr>
          <w:rFonts w:ascii="Gotham Book" w:hAnsi="Gotham Book" w:cstheme="minorHAnsi"/>
        </w:rPr>
        <w:t xml:space="preserve">Less likely to be compulsive buyers </w:t>
      </w:r>
    </w:p>
    <w:p w14:paraId="7AF8A635" w14:textId="77777777" w:rsidR="000443F2" w:rsidRPr="000443F2" w:rsidRDefault="000443F2" w:rsidP="000443F2">
      <w:pPr>
        <w:pStyle w:val="ListParagraph"/>
        <w:numPr>
          <w:ilvl w:val="0"/>
          <w:numId w:val="5"/>
        </w:numPr>
        <w:rPr>
          <w:rFonts w:ascii="Gotham Book" w:hAnsi="Gotham Book" w:cstheme="minorHAnsi"/>
        </w:rPr>
      </w:pPr>
      <w:r w:rsidRPr="000443F2">
        <w:rPr>
          <w:rFonts w:ascii="Gotham Book" w:hAnsi="Gotham Book" w:cstheme="minorHAnsi"/>
        </w:rPr>
        <w:t>More likely to be willing to take average financial risk</w:t>
      </w:r>
    </w:p>
    <w:p w14:paraId="300D4261" w14:textId="77777777" w:rsidR="000443F2" w:rsidRPr="000443F2" w:rsidRDefault="000443F2" w:rsidP="000443F2">
      <w:pPr>
        <w:spacing w:line="256" w:lineRule="auto"/>
        <w:rPr>
          <w:rFonts w:ascii="Gotham Book" w:hAnsi="Gotham Book" w:cstheme="minorHAnsi"/>
        </w:rPr>
      </w:pPr>
      <w:r w:rsidRPr="000443F2">
        <w:rPr>
          <w:rFonts w:ascii="Gotham Book" w:hAnsi="Gotham Book" w:cstheme="minorHAnsi"/>
          <w:b/>
        </w:rPr>
        <w:t>Financial education can quickly improve students’ knowledge.</w:t>
      </w:r>
      <w:r w:rsidRPr="000443F2">
        <w:rPr>
          <w:rFonts w:ascii="Gotham Book" w:hAnsi="Gotham Book" w:cstheme="minorHAnsi"/>
        </w:rPr>
        <w:t xml:space="preserve"> Similarly, one-semester financial literacy programs taught by trained teachers were </w:t>
      </w:r>
      <w:hyperlink r:id="rId14" w:history="1">
        <w:r w:rsidRPr="000443F2">
          <w:rPr>
            <w:rStyle w:val="Hyperlink"/>
            <w:rFonts w:ascii="Gotham Book" w:hAnsi="Gotham Book" w:cstheme="minorHAnsi"/>
          </w:rPr>
          <w:t>found</w:t>
        </w:r>
      </w:hyperlink>
      <w:r w:rsidRPr="000443F2">
        <w:rPr>
          <w:rFonts w:ascii="Gotham Book" w:hAnsi="Gotham Book" w:cstheme="minorHAnsi"/>
        </w:rPr>
        <w:t xml:space="preserve"> to increase high school students financial knowledge by 61 percent, and was most effective in improving knowledge in the areas that the students were most deficient.</w:t>
      </w:r>
    </w:p>
    <w:p w14:paraId="0A1ECC6A" w14:textId="0B7FE5FA" w:rsidR="004B718A" w:rsidRPr="000443F2" w:rsidRDefault="000443F2" w:rsidP="000443F2">
      <w:pPr>
        <w:rPr>
          <w:rFonts w:ascii="Gotham Book" w:hAnsi="Gotham Book" w:cstheme="minorHAnsi"/>
        </w:rPr>
      </w:pPr>
      <w:r w:rsidRPr="000443F2">
        <w:rPr>
          <w:rFonts w:ascii="Gotham Book" w:hAnsi="Gotham Book"/>
          <w:b/>
        </w:rPr>
        <w:t>Financial education yields long-term benefits.</w:t>
      </w:r>
      <w:r w:rsidRPr="000443F2">
        <w:rPr>
          <w:rFonts w:ascii="Gotham Book" w:hAnsi="Gotham Book"/>
        </w:rPr>
        <w:t xml:space="preserve"> </w:t>
      </w:r>
      <w:r w:rsidRPr="000443F2">
        <w:rPr>
          <w:rFonts w:ascii="Gotham Book" w:hAnsi="Gotham Book" w:cstheme="minorHAnsi"/>
        </w:rPr>
        <w:t xml:space="preserve">Net-worth-to-earnings ratios of those exposed to mandatory financial literacy education are more than </w:t>
      </w:r>
      <w:hyperlink r:id="rId15" w:history="1">
        <w:r w:rsidRPr="000443F2">
          <w:rPr>
            <w:rStyle w:val="Hyperlink"/>
            <w:rFonts w:ascii="Gotham Book" w:hAnsi="Gotham Book" w:cstheme="minorHAnsi"/>
          </w:rPr>
          <w:t>9 percent higher</w:t>
        </w:r>
      </w:hyperlink>
      <w:r w:rsidRPr="000443F2">
        <w:rPr>
          <w:rFonts w:ascii="Gotham Book" w:hAnsi="Gotham Book" w:cstheme="minorHAnsi"/>
        </w:rPr>
        <w:t xml:space="preserve"> than those who weren’t.</w:t>
      </w:r>
    </w:p>
    <w:sectPr w:rsidR="004B718A" w:rsidRPr="000443F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0C477" w14:textId="77777777" w:rsidR="00EE641D" w:rsidRDefault="00EE641D" w:rsidP="000A46CA">
      <w:pPr>
        <w:spacing w:after="0" w:line="240" w:lineRule="auto"/>
      </w:pPr>
      <w:r>
        <w:separator/>
      </w:r>
    </w:p>
  </w:endnote>
  <w:endnote w:type="continuationSeparator" w:id="0">
    <w:p w14:paraId="5B35FC3F" w14:textId="77777777" w:rsidR="00EE641D" w:rsidRDefault="00EE641D" w:rsidP="000A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veat bold">
    <w:panose1 w:val="00000000000000000000"/>
    <w:charset w:val="00"/>
    <w:family w:val="roman"/>
    <w:notTrueType/>
    <w:pitch w:val="default"/>
  </w:font>
  <w:font w:name="Gotham Bold">
    <w:panose1 w:val="00000000000000000000"/>
    <w:charset w:val="00"/>
    <w:family w:val="modern"/>
    <w:notTrueType/>
    <w:pitch w:val="variable"/>
    <w:sig w:usb0="A00000FF" w:usb1="4000004A" w:usb2="00000000" w:usb3="00000000" w:csb0="0000000B" w:csb1="00000000"/>
  </w:font>
  <w:font w:name="Gotham Book">
    <w:panose1 w:val="02000604040000020004"/>
    <w:charset w:val="00"/>
    <w:family w:val="modern"/>
    <w:notTrueType/>
    <w:pitch w:val="variable"/>
    <w:sig w:usb0="00000087" w:usb1="00000000"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3416" w14:textId="77777777" w:rsidR="00EE641D" w:rsidRDefault="00EE641D" w:rsidP="000A46CA">
      <w:pPr>
        <w:spacing w:after="0" w:line="240" w:lineRule="auto"/>
      </w:pPr>
      <w:r>
        <w:separator/>
      </w:r>
    </w:p>
  </w:footnote>
  <w:footnote w:type="continuationSeparator" w:id="0">
    <w:p w14:paraId="1B75B544" w14:textId="77777777" w:rsidR="00EE641D" w:rsidRDefault="00EE641D" w:rsidP="000A4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1EC7" w14:textId="1302DA69" w:rsidR="000A46CA" w:rsidRDefault="000A46CA">
    <w:pPr>
      <w:pStyle w:val="Header"/>
    </w:pPr>
    <w:r>
      <w:rPr>
        <w:noProof/>
      </w:rPr>
      <w:drawing>
        <wp:anchor distT="0" distB="0" distL="114300" distR="114300" simplePos="0" relativeHeight="251658240" behindDoc="1" locked="0" layoutInCell="1" allowOverlap="1" wp14:anchorId="6F81B7F2" wp14:editId="6418EA42">
          <wp:simplePos x="0" y="0"/>
          <wp:positionH relativeFrom="column">
            <wp:posOffset>-374650</wp:posOffset>
          </wp:positionH>
          <wp:positionV relativeFrom="paragraph">
            <wp:posOffset>-273685</wp:posOffset>
          </wp:positionV>
          <wp:extent cx="1231900" cy="8212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 Your School landscape (1).png"/>
                  <pic:cNvPicPr/>
                </pic:nvPicPr>
                <pic:blipFill>
                  <a:blip r:embed="rId1">
                    <a:extLst>
                      <a:ext uri="{28A0092B-C50C-407E-A947-70E740481C1C}">
                        <a14:useLocalDpi xmlns:a14="http://schemas.microsoft.com/office/drawing/2010/main" val="0"/>
                      </a:ext>
                    </a:extLst>
                  </a:blip>
                  <a:stretch>
                    <a:fillRect/>
                  </a:stretch>
                </pic:blipFill>
                <pic:spPr>
                  <a:xfrm>
                    <a:off x="0" y="0"/>
                    <a:ext cx="1231900" cy="8212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2DC5"/>
    <w:multiLevelType w:val="hybridMultilevel"/>
    <w:tmpl w:val="2AB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1284B"/>
    <w:multiLevelType w:val="hybridMultilevel"/>
    <w:tmpl w:val="3B7C6D5A"/>
    <w:lvl w:ilvl="0" w:tplc="5C5EF79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8302C"/>
    <w:multiLevelType w:val="hybridMultilevel"/>
    <w:tmpl w:val="A790BE80"/>
    <w:lvl w:ilvl="0" w:tplc="66A079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E1F12"/>
    <w:multiLevelType w:val="hybridMultilevel"/>
    <w:tmpl w:val="684A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E1752"/>
    <w:multiLevelType w:val="hybridMultilevel"/>
    <w:tmpl w:val="D520DC7A"/>
    <w:lvl w:ilvl="0" w:tplc="23586C86">
      <w:start w:val="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2M7QwMjEwtTQ0NDVT0lEKTi0uzszPAykwrAUAlId/JSwAAAA="/>
  </w:docVars>
  <w:rsids>
    <w:rsidRoot w:val="004B718A"/>
    <w:rsid w:val="000443F2"/>
    <w:rsid w:val="000A46CA"/>
    <w:rsid w:val="004B718A"/>
    <w:rsid w:val="0058201C"/>
    <w:rsid w:val="00712BE7"/>
    <w:rsid w:val="00DF7468"/>
    <w:rsid w:val="00EE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48E0"/>
  <w15:chartTrackingRefBased/>
  <w15:docId w15:val="{960B967D-E043-43E3-B72F-A47EA843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8A"/>
  </w:style>
  <w:style w:type="paragraph" w:styleId="Heading1">
    <w:name w:val="heading 1"/>
    <w:basedOn w:val="Normal"/>
    <w:next w:val="Normal"/>
    <w:link w:val="Heading1Char"/>
    <w:uiPriority w:val="9"/>
    <w:qFormat/>
    <w:rsid w:val="004B71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43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18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B718A"/>
    <w:rPr>
      <w:color w:val="0563C1" w:themeColor="hyperlink"/>
      <w:u w:val="single"/>
    </w:rPr>
  </w:style>
  <w:style w:type="paragraph" w:styleId="ListParagraph">
    <w:name w:val="List Paragraph"/>
    <w:basedOn w:val="Normal"/>
    <w:uiPriority w:val="34"/>
    <w:qFormat/>
    <w:rsid w:val="004B718A"/>
    <w:pPr>
      <w:ind w:left="720"/>
      <w:contextualSpacing/>
    </w:pPr>
  </w:style>
  <w:style w:type="character" w:styleId="UnresolvedMention">
    <w:name w:val="Unresolved Mention"/>
    <w:basedOn w:val="DefaultParagraphFont"/>
    <w:uiPriority w:val="99"/>
    <w:semiHidden/>
    <w:unhideWhenUsed/>
    <w:rsid w:val="004B718A"/>
    <w:rPr>
      <w:color w:val="605E5C"/>
      <w:shd w:val="clear" w:color="auto" w:fill="E1DFDD"/>
    </w:rPr>
  </w:style>
  <w:style w:type="paragraph" w:styleId="Header">
    <w:name w:val="header"/>
    <w:basedOn w:val="Normal"/>
    <w:link w:val="HeaderChar"/>
    <w:uiPriority w:val="99"/>
    <w:unhideWhenUsed/>
    <w:rsid w:val="000A4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CA"/>
  </w:style>
  <w:style w:type="paragraph" w:styleId="Footer">
    <w:name w:val="footer"/>
    <w:basedOn w:val="Normal"/>
    <w:link w:val="FooterChar"/>
    <w:uiPriority w:val="99"/>
    <w:unhideWhenUsed/>
    <w:rsid w:val="000A4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6CA"/>
  </w:style>
  <w:style w:type="character" w:customStyle="1" w:styleId="Heading2Char">
    <w:name w:val="Heading 2 Char"/>
    <w:basedOn w:val="DefaultParagraphFont"/>
    <w:link w:val="Heading2"/>
    <w:uiPriority w:val="9"/>
    <w:rsid w:val="000443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waytofinancialsuccess.org/wpcontent/uploads/2014/04/Pathway-Financial-Knowledge-and-Outlook-Survey-KeyFindings.pdf" TargetMode="External"/><Relationship Id="rId13" Type="http://schemas.openxmlformats.org/officeDocument/2006/relationships/hyperlink" Target="http://www.nefe.org/what-we-provide/primaryresearch/financial-education-mandates-repor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verfi.com/press-releases/everfi-reveals-national-financial-knowledge-findings-based-survey-results-college-students-across-country/" TargetMode="External"/><Relationship Id="rId12" Type="http://schemas.openxmlformats.org/officeDocument/2006/relationships/hyperlink" Target="https://www.nefe.org/What-We-Provide/Primary-Research/Effects-of-K-12-Financial-Education-Mandates-on-Student-Postsecondary-Education-Outco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hwaytofinancialsuccess.org/wpcontent/uploads/2014/04/Pathway-Financial-Knowledge-and-Outlook-Survey-KeyFindings.pdf" TargetMode="External"/><Relationship Id="rId5" Type="http://schemas.openxmlformats.org/officeDocument/2006/relationships/footnotes" Target="footnotes.xml"/><Relationship Id="rId15" Type="http://schemas.openxmlformats.org/officeDocument/2006/relationships/hyperlink" Target="https://www.councilforeconed.org/wp-content/uploads/2016/11/2016.11_Research-Summary-for-the-Website.pdf" TargetMode="External"/><Relationship Id="rId10" Type="http://schemas.openxmlformats.org/officeDocument/2006/relationships/hyperlink" Target="http://www.nber.org/papers/w18669.pdf" TargetMode="External"/><Relationship Id="rId4" Type="http://schemas.openxmlformats.org/officeDocument/2006/relationships/webSettings" Target="webSettings.xml"/><Relationship Id="rId9" Type="http://schemas.openxmlformats.org/officeDocument/2006/relationships/hyperlink" Target="http://onlinelibrary.wiley.com/doi/10.1111/joca.12058/abstract" TargetMode="External"/><Relationship Id="rId14" Type="http://schemas.openxmlformats.org/officeDocument/2006/relationships/hyperlink" Target="https://www.sciencedirect.com/science/article/abs/pii/S14773880140001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cp:revision>
  <dcterms:created xsi:type="dcterms:W3CDTF">2019-01-17T12:35:00Z</dcterms:created>
  <dcterms:modified xsi:type="dcterms:W3CDTF">2019-01-17T12:35:00Z</dcterms:modified>
</cp:coreProperties>
</file>